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D7" w:rsidRPr="0067536D" w:rsidRDefault="0067536D">
      <w:pPr>
        <w:ind w:firstLine="180"/>
        <w:jc w:val="center"/>
        <w:rPr>
          <w:b/>
          <w:bCs/>
        </w:rPr>
      </w:pPr>
      <w:r w:rsidRPr="0067536D">
        <w:rPr>
          <w:b/>
          <w:bCs/>
        </w:rPr>
        <w:t>МИНИСТЕРСТВО ПРОМЫШЛЕННОСТИ И ТОРГОВЛИ</w:t>
      </w:r>
    </w:p>
    <w:p w:rsidR="00B316D7" w:rsidRPr="0067536D" w:rsidRDefault="0067536D">
      <w:pPr>
        <w:ind w:firstLine="180"/>
        <w:jc w:val="center"/>
        <w:rPr>
          <w:b/>
          <w:bCs/>
        </w:rPr>
      </w:pPr>
      <w:r w:rsidRPr="0067536D">
        <w:rPr>
          <w:b/>
          <w:bCs/>
        </w:rPr>
        <w:t>УДМУРТСКОЙ РЕСПУБЛИКИ</w:t>
      </w:r>
    </w:p>
    <w:p w:rsidR="00B316D7" w:rsidRPr="0067536D" w:rsidRDefault="0067536D">
      <w:pPr>
        <w:ind w:firstLine="180"/>
        <w:jc w:val="center"/>
      </w:pPr>
      <w:r w:rsidRPr="0067536D"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 w:rsidR="00B316D7" w:rsidRPr="0067536D" w:rsidRDefault="0067536D">
      <w:pPr>
        <w:ind w:firstLine="180"/>
        <w:jc w:val="center"/>
      </w:pPr>
      <w:r w:rsidRPr="0067536D">
        <w:t>торгово-закупочной деятельности</w:t>
      </w:r>
    </w:p>
    <w:p w:rsidR="00B316D7" w:rsidRPr="0067536D" w:rsidRDefault="0067536D">
      <w:pPr>
        <w:ind w:firstLine="180"/>
        <w:jc w:val="center"/>
      </w:pPr>
      <w:proofErr w:type="gramStart"/>
      <w:r w:rsidRPr="0067536D">
        <w:t xml:space="preserve">(уполномоченный орган на основании </w:t>
      </w:r>
      <w:r w:rsidRPr="0067536D">
        <w:t>постановления</w:t>
      </w:r>
      <w:proofErr w:type="gramEnd"/>
    </w:p>
    <w:p w:rsidR="00B316D7" w:rsidRPr="0067536D" w:rsidRDefault="0067536D">
      <w:pPr>
        <w:ind w:firstLine="180"/>
        <w:jc w:val="center"/>
      </w:pPr>
      <w:r w:rsidRPr="0067536D">
        <w:t>Правительства Удмуртской Республики от 22.12.2014 № 550)</w:t>
      </w:r>
    </w:p>
    <w:p w:rsidR="00B316D7" w:rsidRPr="0067536D" w:rsidRDefault="00B316D7">
      <w:pPr>
        <w:ind w:firstLine="180"/>
        <w:jc w:val="center"/>
      </w:pPr>
    </w:p>
    <w:p w:rsidR="00B316D7" w:rsidRPr="0067536D" w:rsidRDefault="0067536D">
      <w:pPr>
        <w:ind w:firstLine="180"/>
        <w:jc w:val="center"/>
      </w:pPr>
      <w:r w:rsidRPr="0067536D">
        <w:t xml:space="preserve">ул. </w:t>
      </w:r>
      <w:proofErr w:type="gramStart"/>
      <w:r w:rsidRPr="0067536D">
        <w:t>Красная</w:t>
      </w:r>
      <w:proofErr w:type="gramEnd"/>
      <w:r w:rsidRPr="0067536D">
        <w:t>, 144, Ижевск, 426008, Тел.: (3412) 222-694</w:t>
      </w:r>
    </w:p>
    <w:p w:rsidR="00B316D7" w:rsidRPr="0067536D" w:rsidRDefault="0067536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7536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</w:t>
      </w:r>
    </w:p>
    <w:p w:rsidR="00B316D7" w:rsidRPr="0067536D" w:rsidRDefault="00B316D7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16D7" w:rsidRPr="0067536D" w:rsidRDefault="0067536D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6D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316D7" w:rsidRPr="0067536D" w:rsidRDefault="0067536D">
      <w:pPr>
        <w:pStyle w:val="ConsNormal"/>
        <w:widowControl/>
        <w:tabs>
          <w:tab w:val="left" w:pos="851"/>
        </w:tabs>
        <w:ind w:right="0"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36D">
        <w:rPr>
          <w:rFonts w:ascii="Times New Roman" w:hAnsi="Times New Roman" w:cs="Times New Roman"/>
          <w:b/>
          <w:sz w:val="24"/>
          <w:szCs w:val="24"/>
        </w:rPr>
        <w:t>по делу № 05-2-07/2024-15 об отказе в согласовани</w:t>
      </w:r>
      <w:r w:rsidRPr="0067536D">
        <w:rPr>
          <w:rFonts w:ascii="Times New Roman" w:hAnsi="Times New Roman" w:cs="Times New Roman"/>
          <w:b/>
          <w:sz w:val="24"/>
          <w:szCs w:val="24"/>
        </w:rPr>
        <w:t>и заключения контракта с единственным поставщиком (подрядчиком, исполнителем)</w:t>
      </w:r>
    </w:p>
    <w:p w:rsidR="00B316D7" w:rsidRPr="0067536D" w:rsidRDefault="00B316D7">
      <w:pPr>
        <w:jc w:val="both"/>
      </w:pPr>
    </w:p>
    <w:p w:rsidR="00B316D7" w:rsidRPr="0067536D" w:rsidRDefault="0067536D">
      <w:pPr>
        <w:tabs>
          <w:tab w:val="left" w:pos="8100"/>
        </w:tabs>
        <w:jc w:val="both"/>
      </w:pPr>
      <w:r w:rsidRPr="0067536D">
        <w:rPr>
          <w:spacing w:val="-2"/>
        </w:rPr>
        <w:t>19</w:t>
      </w:r>
      <w:r w:rsidRPr="0067536D">
        <w:rPr>
          <w:spacing w:val="-2"/>
        </w:rPr>
        <w:t>.11.2024</w:t>
      </w:r>
      <w:r w:rsidRPr="0067536D">
        <w:t xml:space="preserve">                                                                        </w:t>
      </w:r>
      <w:r w:rsidRPr="0067536D">
        <w:t xml:space="preserve">        </w:t>
      </w:r>
      <w:r w:rsidRPr="0067536D">
        <w:t xml:space="preserve">                                                город Ижевск</w:t>
      </w:r>
    </w:p>
    <w:p w:rsidR="00B316D7" w:rsidRPr="0067536D" w:rsidRDefault="00B316D7">
      <w:pPr>
        <w:tabs>
          <w:tab w:val="left" w:pos="8100"/>
        </w:tabs>
        <w:jc w:val="both"/>
        <w:rPr>
          <w:highlight w:val="yellow"/>
        </w:rPr>
      </w:pPr>
    </w:p>
    <w:p w:rsidR="00B316D7" w:rsidRPr="0067536D" w:rsidRDefault="0067536D">
      <w:pPr>
        <w:ind w:firstLine="709"/>
        <w:jc w:val="both"/>
      </w:pPr>
      <w:proofErr w:type="gramStart"/>
      <w:r w:rsidRPr="0067536D">
        <w:t>Комиссия в составе должно</w:t>
      </w:r>
      <w:r w:rsidRPr="0067536D">
        <w:t>стных лиц Министерства промышленности и торговли Удмуртской Республики (далее – Министерство): &lt;...&gt; – заместителя министра промышленности и торговли Удмуртской Республики, &lt;...&gt; – начальника отдела по контролю в сфере закупок товаров, работ, услуг для обе</w:t>
      </w:r>
      <w:r w:rsidRPr="0067536D">
        <w:t>спечения государственных нужд Удмуртской Республики Управления торгово-закупочной деятельности Министерства (далее – отдел), &lt;...&gt; – главного государственного инспектора отдела, при проведении внеплановой проверки в соответствии с пунктом 4 части 15 статьи</w:t>
      </w:r>
      <w:r w:rsidRPr="0067536D">
        <w:t xml:space="preserve"> 99 Федерального</w:t>
      </w:r>
      <w:proofErr w:type="gramEnd"/>
      <w:r w:rsidRPr="0067536D">
        <w:t xml:space="preserve"> </w:t>
      </w:r>
      <w:proofErr w:type="gramStart"/>
      <w:r w:rsidRPr="0067536D">
        <w:t xml:space="preserve">закона </w:t>
      </w:r>
      <w:r w:rsidRPr="0067536D">
        <w:t>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</w:t>
      </w:r>
      <w:r w:rsidRPr="0067536D">
        <w:t xml:space="preserve">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</w:t>
      </w:r>
      <w:r w:rsidRPr="0067536D">
        <w:t>ания конкурса, аукциона или</w:t>
      </w:r>
      <w:proofErr w:type="gramEnd"/>
      <w:r w:rsidRPr="0067536D">
        <w:t xml:space="preserve"> </w:t>
      </w:r>
      <w:proofErr w:type="gramStart"/>
      <w:r w:rsidRPr="0067536D">
        <w:t xml:space="preserve">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</w:t>
      </w:r>
      <w:r w:rsidRPr="0067536D">
        <w:t>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</w:t>
      </w:r>
      <w:r w:rsidRPr="0067536D">
        <w:t>е – Правила), постановлением Правительства</w:t>
      </w:r>
      <w:proofErr w:type="gramEnd"/>
      <w:r w:rsidRPr="0067536D">
        <w:t xml:space="preserve"> </w:t>
      </w:r>
      <w:proofErr w:type="gramStart"/>
      <w:r w:rsidRPr="0067536D">
        <w:t xml:space="preserve">Российской Федерации </w:t>
      </w:r>
      <w:r w:rsidRPr="0067536D">
        <w:t xml:space="preserve">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</w:t>
      </w:r>
      <w:r w:rsidRPr="0067536D">
        <w:t>по осуще</w:t>
      </w:r>
      <w:r w:rsidRPr="0067536D">
        <w:t xml:space="preserve">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</w:t>
      </w:r>
      <w:r w:rsidRPr="0067536D">
        <w:t>в Правила вед</w:t>
      </w:r>
      <w:r w:rsidRPr="0067536D">
        <w:t>ения реестра жалоб, плановых и внеплановых проверок, принятых</w:t>
      </w:r>
      <w:proofErr w:type="gramEnd"/>
      <w:r w:rsidRPr="0067536D">
        <w:t xml:space="preserve"> </w:t>
      </w:r>
      <w:proofErr w:type="gramStart"/>
      <w:r w:rsidRPr="0067536D">
        <w:t xml:space="preserve">по ним решений </w:t>
      </w:r>
      <w:r w:rsidRPr="0067536D">
        <w:t xml:space="preserve">и выданных предписаний, представлений», на основании приказа Министерства промышленности </w:t>
      </w:r>
      <w:r w:rsidRPr="0067536D">
        <w:t>и торговли Удмуртской Республики от 13.11.2024 № 191 «О  проведении внеплановой проверки</w:t>
      </w:r>
      <w:r w:rsidRPr="0067536D">
        <w:t xml:space="preserve"> казённого учреждения Удмуртской Республики «Управление автомобильными дорогами Удмуртской Республики», обращения казённого учреждения Удмуртской Республики «Управление автомобильными дорогами Удмуртской Республики» о согласовании заключения государственно</w:t>
      </w:r>
      <w:r w:rsidRPr="0067536D">
        <w:t>го контракта с единственным поставщиком (подрядчиком, исполнителем) по результатам признания несостоявшимся электронного конкурса на проведение</w:t>
      </w:r>
      <w:proofErr w:type="gramEnd"/>
      <w:r w:rsidRPr="0067536D">
        <w:t xml:space="preserve"> </w:t>
      </w:r>
      <w:proofErr w:type="gramStart"/>
      <w:r w:rsidRPr="0067536D">
        <w:t>работ по строительству, реконструкции, капитальному ремонту, сносу объекта капитального строительства в соответс</w:t>
      </w:r>
      <w:r w:rsidRPr="0067536D">
        <w:t xml:space="preserve">твии с пунктом </w:t>
      </w:r>
      <w:r w:rsidRPr="0067536D">
        <w:t xml:space="preserve">8 части 1 статьи 33 Федерального закона № 44-ФЗ на выполнение работ по капитальному ремонту автомобильной дороги Верхняя Игра - Мишкино - граница Татарстана км 0+000 - км 5+800 </w:t>
      </w:r>
      <w:r w:rsidRPr="0067536D">
        <w:t xml:space="preserve">в </w:t>
      </w:r>
      <w:proofErr w:type="spellStart"/>
      <w:r w:rsidRPr="0067536D">
        <w:t>Граховском</w:t>
      </w:r>
      <w:proofErr w:type="spellEnd"/>
      <w:r w:rsidRPr="0067536D">
        <w:t xml:space="preserve"> районе Удмуртской Республике (1 этап ПК </w:t>
      </w:r>
      <w:r w:rsidRPr="0067536D">
        <w:lastRenderedPageBreak/>
        <w:t>30-82 - П</w:t>
      </w:r>
      <w:r w:rsidRPr="0067536D">
        <w:t xml:space="preserve">К 54+93) (извещение </w:t>
      </w:r>
      <w:r w:rsidRPr="0067536D">
        <w:t>от 18.10.2024 № 0813500000124018156), поступившего в Министерство</w:t>
      </w:r>
      <w:proofErr w:type="gramEnd"/>
      <w:r w:rsidRPr="0067536D">
        <w:t xml:space="preserve"> 12.11.2024 №  031320001860000035 (версия 2),</w:t>
      </w:r>
    </w:p>
    <w:p w:rsidR="00B316D7" w:rsidRPr="0067536D" w:rsidRDefault="00B316D7">
      <w:pPr>
        <w:ind w:firstLine="709"/>
        <w:jc w:val="both"/>
        <w:rPr>
          <w:highlight w:val="yellow"/>
        </w:rPr>
      </w:pPr>
    </w:p>
    <w:p w:rsidR="00B316D7" w:rsidRPr="0067536D" w:rsidRDefault="0067536D">
      <w:pPr>
        <w:ind w:firstLine="540"/>
        <w:jc w:val="center"/>
      </w:pPr>
      <w:r w:rsidRPr="0067536D">
        <w:t>УСТАНОВИЛА:</w:t>
      </w:r>
    </w:p>
    <w:p w:rsidR="00B316D7" w:rsidRPr="0067536D" w:rsidRDefault="00B316D7">
      <w:pPr>
        <w:ind w:firstLine="540"/>
        <w:jc w:val="center"/>
        <w:rPr>
          <w:highlight w:val="yellow"/>
        </w:rPr>
      </w:pPr>
    </w:p>
    <w:p w:rsidR="00B316D7" w:rsidRPr="0067536D" w:rsidRDefault="0067536D">
      <w:pPr>
        <w:ind w:firstLine="540"/>
        <w:jc w:val="both"/>
        <w:rPr>
          <w:spacing w:val="5"/>
        </w:rPr>
      </w:pPr>
      <w:proofErr w:type="gramStart"/>
      <w:r w:rsidRPr="0067536D">
        <w:rPr>
          <w:spacing w:val="5"/>
        </w:rPr>
        <w:t>На официальном сайте единой информационной системы в сфере закупок (</w:t>
      </w:r>
      <w:r w:rsidRPr="0067536D">
        <w:rPr>
          <w:spacing w:val="5"/>
          <w:lang w:val="en-US"/>
        </w:rPr>
        <w:t>https</w:t>
      </w:r>
      <w:r w:rsidRPr="0067536D">
        <w:rPr>
          <w:spacing w:val="5"/>
        </w:rPr>
        <w:t>://</w:t>
      </w:r>
      <w:proofErr w:type="spellStart"/>
      <w:r w:rsidRPr="0067536D">
        <w:rPr>
          <w:spacing w:val="5"/>
          <w:lang w:val="en-US"/>
        </w:rPr>
        <w:t>zakupki</w:t>
      </w:r>
      <w:proofErr w:type="spellEnd"/>
      <w:r w:rsidRPr="0067536D">
        <w:rPr>
          <w:spacing w:val="5"/>
        </w:rPr>
        <w:t>.</w:t>
      </w:r>
      <w:proofErr w:type="spellStart"/>
      <w:r w:rsidRPr="0067536D">
        <w:rPr>
          <w:spacing w:val="5"/>
          <w:lang w:val="en-US"/>
        </w:rPr>
        <w:t>gov</w:t>
      </w:r>
      <w:proofErr w:type="spellEnd"/>
      <w:r w:rsidRPr="0067536D">
        <w:rPr>
          <w:spacing w:val="5"/>
        </w:rPr>
        <w:t>.</w:t>
      </w:r>
      <w:proofErr w:type="spellStart"/>
      <w:r w:rsidRPr="0067536D">
        <w:rPr>
          <w:spacing w:val="5"/>
          <w:lang w:val="en-US"/>
        </w:rPr>
        <w:t>ru</w:t>
      </w:r>
      <w:proofErr w:type="spellEnd"/>
      <w:r w:rsidRPr="0067536D">
        <w:rPr>
          <w:spacing w:val="5"/>
        </w:rPr>
        <w:t xml:space="preserve">/) 18.10.2024 размещено извещение № 0813500000124018156 о проведении электронного конкурса на </w:t>
      </w:r>
      <w:r w:rsidRPr="0067536D">
        <w:t xml:space="preserve">выполнение работ по капитальному ремонту автомобильной дороги Верхняя Игра - Мишкино - граница Татарстана км 0+000 - км 5+800 в </w:t>
      </w:r>
      <w:proofErr w:type="spellStart"/>
      <w:r w:rsidRPr="0067536D">
        <w:t>Граховском</w:t>
      </w:r>
      <w:proofErr w:type="spellEnd"/>
      <w:r w:rsidRPr="0067536D">
        <w:t xml:space="preserve"> районе Удмуртской Респу</w:t>
      </w:r>
      <w:r w:rsidRPr="0067536D">
        <w:t>блике (1 этап ПК 30-82 - ПК 54+93)</w:t>
      </w:r>
      <w:r w:rsidRPr="0067536D">
        <w:rPr>
          <w:spacing w:val="5"/>
        </w:rPr>
        <w:t xml:space="preserve"> с начальной (максимальной) ценой контракта – 164 060 130,00</w:t>
      </w:r>
      <w:proofErr w:type="gramEnd"/>
      <w:r w:rsidRPr="0067536D">
        <w:rPr>
          <w:spacing w:val="5"/>
        </w:rPr>
        <w:t xml:space="preserve"> руб. (далее – Извещение).</w:t>
      </w:r>
    </w:p>
    <w:p w:rsidR="00B316D7" w:rsidRPr="0067536D" w:rsidRDefault="0067536D">
      <w:pPr>
        <w:ind w:firstLine="540"/>
        <w:jc w:val="both"/>
        <w:rPr>
          <w:bCs/>
          <w:iCs/>
        </w:rPr>
      </w:pPr>
      <w:r w:rsidRPr="0067536D">
        <w:t xml:space="preserve">Заказчик: </w:t>
      </w:r>
      <w:r w:rsidRPr="0067536D">
        <w:rPr>
          <w:bCs/>
          <w:iCs/>
        </w:rPr>
        <w:t xml:space="preserve">казённое учреждение Удмуртской Республики «Управление автомобильными дорогами Удмуртской Республики» </w:t>
      </w:r>
      <w:r w:rsidRPr="0067536D">
        <w:t>(далее – КУ УР «</w:t>
      </w:r>
      <w:proofErr w:type="spellStart"/>
      <w:r w:rsidRPr="0067536D">
        <w:t>Управтод</w:t>
      </w:r>
      <w:r w:rsidRPr="0067536D">
        <w:t>ор</w:t>
      </w:r>
      <w:proofErr w:type="spellEnd"/>
      <w:r w:rsidRPr="0067536D">
        <w:t>», Заказчик).</w:t>
      </w:r>
    </w:p>
    <w:p w:rsidR="00B316D7" w:rsidRPr="0067536D" w:rsidRDefault="0067536D">
      <w:pPr>
        <w:ind w:firstLine="540"/>
        <w:jc w:val="both"/>
        <w:rPr>
          <w:bCs/>
        </w:rPr>
      </w:pPr>
      <w:r w:rsidRPr="0067536D">
        <w:t xml:space="preserve">Местонахождение Заказчика: </w:t>
      </w:r>
      <w:r w:rsidRPr="0067536D">
        <w:rPr>
          <w:bCs/>
        </w:rPr>
        <w:t>426033, Удмуртская Республика, г. Ижевск, ул. Кирова, 22.</w:t>
      </w:r>
    </w:p>
    <w:p w:rsidR="00B316D7" w:rsidRPr="0067536D" w:rsidRDefault="0067536D">
      <w:pPr>
        <w:ind w:firstLine="540"/>
        <w:jc w:val="both"/>
        <w:rPr>
          <w:rFonts w:eastAsia="MS Mincho"/>
        </w:rPr>
      </w:pPr>
      <w:r w:rsidRPr="0067536D">
        <w:rPr>
          <w:rFonts w:eastAsia="MS Mincho"/>
          <w:lang w:eastAsia="ja-JP"/>
        </w:rPr>
        <w:t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Республики».</w:t>
      </w:r>
    </w:p>
    <w:p w:rsidR="00B316D7" w:rsidRPr="0067536D" w:rsidRDefault="0067536D">
      <w:pPr>
        <w:ind w:firstLine="540"/>
        <w:jc w:val="both"/>
        <w:rPr>
          <w:rFonts w:eastAsia="MS Mincho"/>
        </w:rPr>
      </w:pPr>
      <w:r w:rsidRPr="0067536D">
        <w:rPr>
          <w:rFonts w:eastAsia="MS Mincho"/>
          <w:lang w:eastAsia="ja-JP"/>
        </w:rPr>
        <w:t>Местонахождение ГКУ УР «РЦЗ УР»: 426008, Удмуртская Республика, г. Ижевск, ул. Красная, 144.</w:t>
      </w:r>
    </w:p>
    <w:p w:rsidR="00B316D7" w:rsidRPr="0067536D" w:rsidRDefault="0067536D">
      <w:pPr>
        <w:ind w:firstLine="540"/>
        <w:jc w:val="both"/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67536D">
        <w:t xml:space="preserve">Согласно </w:t>
      </w:r>
      <w:r w:rsidRPr="0067536D">
        <w:rPr>
          <w:rFonts w:eastAsia="MS Mincho"/>
          <w:lang w:eastAsia="ja-JP"/>
        </w:rPr>
        <w:t>протоколу подведения итогов электронного конкурса от 07.11.2024</w:t>
      </w:r>
      <w:r w:rsidRPr="0067536D">
        <w:rPr>
          <w:lang w:eastAsia="ja-JP"/>
        </w:rPr>
        <w:t xml:space="preserve"> </w:t>
      </w:r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в </w:t>
      </w:r>
      <w:proofErr w:type="gramStart"/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соответствии</w:t>
      </w:r>
      <w:proofErr w:type="gramEnd"/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br/>
        <w:t>с пунктом 1 части 1 статьи 52 Федерального закона № 44-ФЗ электронный конк</w:t>
      </w:r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 xml:space="preserve">урс признан несостоявшимся в связи с тем, что по окончании срока подачи заявок подана только одна заявка </w:t>
      </w:r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br/>
        <w:t>на участие в закупке.</w:t>
      </w:r>
      <w:r w:rsidRPr="0067536D">
        <w:t xml:space="preserve"> Принято решение о </w:t>
      </w:r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несоответствии участника закупки требованиям, установленным в извещении об осуществлении закупки в соответстви</w:t>
      </w:r>
      <w:r w:rsidRPr="0067536D">
        <w:rPr>
          <w:rStyle w:val="h2-12-c"/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и со статьей 31 Федерального закона № 44-ФЗ.</w:t>
      </w:r>
    </w:p>
    <w:p w:rsidR="00B316D7" w:rsidRPr="0067536D" w:rsidRDefault="0067536D">
      <w:pPr>
        <w:ind w:firstLine="709"/>
        <w:jc w:val="both"/>
        <w:rPr>
          <w:rFonts w:eastAsia="MS Mincho"/>
        </w:rPr>
      </w:pPr>
      <w:r w:rsidRPr="0067536D">
        <w:rPr>
          <w:rFonts w:eastAsia="MS Mincho"/>
        </w:rPr>
        <w:t xml:space="preserve">Заказчик направил в Министерство промышленности и торговли Удмуртской Республики обращение о согласовании заключения контракта с единственным подрядчиком – обществом </w:t>
      </w:r>
      <w:r w:rsidRPr="0067536D">
        <w:rPr>
          <w:rFonts w:eastAsia="MS Mincho"/>
        </w:rPr>
        <w:br/>
        <w:t>с ограниченной ответственностью «&lt;...&gt;</w:t>
      </w:r>
      <w:bookmarkStart w:id="0" w:name="_GoBack"/>
      <w:bookmarkEnd w:id="0"/>
      <w:r w:rsidRPr="0067536D">
        <w:rPr>
          <w:rFonts w:eastAsia="MS Mincho"/>
        </w:rPr>
        <w:t>» (ИН</w:t>
      </w:r>
      <w:r w:rsidRPr="0067536D">
        <w:rPr>
          <w:rFonts w:eastAsia="MS Mincho"/>
        </w:rPr>
        <w:t>Н&lt;...&gt;) (далее – Подрядчик) по цене 164 060 130,00 руб. (далее – Обращение).</w:t>
      </w:r>
    </w:p>
    <w:p w:rsidR="00B316D7" w:rsidRPr="0067536D" w:rsidRDefault="0067536D">
      <w:pPr>
        <w:ind w:firstLine="709"/>
        <w:jc w:val="both"/>
        <w:rPr>
          <w:rFonts w:eastAsia="MS Mincho"/>
        </w:rPr>
      </w:pPr>
      <w:proofErr w:type="gramStart"/>
      <w:r w:rsidRPr="0067536D">
        <w:rPr>
          <w:rFonts w:eastAsia="MS Mincho"/>
        </w:rPr>
        <w:t>Подпунктом</w:t>
      </w:r>
      <w:proofErr w:type="gramEnd"/>
      <w:r w:rsidRPr="0067536D">
        <w:rPr>
          <w:rFonts w:eastAsia="MS Mincho"/>
        </w:rPr>
        <w:t xml:space="preserve"> а пункта 1 постановления Правительства Российской Федерации от 29.12.2021 № 2571 «О требованиях к участникам закупки товаров, работ, услуг для обеспечения государственн</w:t>
      </w:r>
      <w:r w:rsidRPr="0067536D">
        <w:rPr>
          <w:rFonts w:eastAsia="MS Mincho"/>
        </w:rPr>
        <w:t xml:space="preserve">ых и муниципальных нужд и признании утратившими силу некоторых актов и отдельных положений актов Правительства Российской Федерации» (далее - Постановление </w:t>
      </w:r>
      <w:r w:rsidRPr="0067536D">
        <w:rPr>
          <w:rFonts w:eastAsia="MS Mincho"/>
        </w:rPr>
        <w:br/>
        <w:t>№ 2571) установлено, что к участникам закупки отдельных видов товаров, работ, услуг предъявляются д</w:t>
      </w:r>
      <w:r w:rsidRPr="0067536D">
        <w:rPr>
          <w:rFonts w:eastAsia="MS Mincho"/>
        </w:rPr>
        <w:t>ополнительные требования согласно приложению «Дополнительные требования к участникам закупки отдельных видов товаров, работ, услуг, участникам отдельных видов закупок товаров, работ, услуг для обеспечения государственных и муниципальных нужд» (далее - прил</w:t>
      </w:r>
      <w:r w:rsidRPr="0067536D">
        <w:rPr>
          <w:rFonts w:eastAsia="MS Mincho"/>
        </w:rPr>
        <w:t>ожение). Соответствие участников закупки указанным дополнительным требованиям подтверждается информацией и документами, предусмотренными Приложением.</w:t>
      </w:r>
    </w:p>
    <w:p w:rsidR="00B316D7" w:rsidRPr="0067536D" w:rsidRDefault="0067536D">
      <w:pPr>
        <w:ind w:firstLine="709"/>
        <w:jc w:val="both"/>
        <w:rPr>
          <w:rFonts w:eastAsia="MS Mincho"/>
        </w:rPr>
      </w:pPr>
      <w:r w:rsidRPr="0067536D">
        <w:rPr>
          <w:rFonts w:eastAsia="MS Mincho"/>
        </w:rPr>
        <w:t xml:space="preserve">Извещением № 0813500000124018156 о проведении электронного конкурса установлено требование в соответствии </w:t>
      </w:r>
      <w:r w:rsidRPr="0067536D">
        <w:rPr>
          <w:rFonts w:eastAsia="MS Mincho"/>
        </w:rPr>
        <w:t>с позицией 17 приложения Постановления № 2571.</w:t>
      </w:r>
    </w:p>
    <w:p w:rsidR="00B316D7" w:rsidRPr="0067536D" w:rsidRDefault="0067536D">
      <w:pPr>
        <w:ind w:firstLine="709"/>
        <w:jc w:val="both"/>
        <w:rPr>
          <w:rFonts w:eastAsia="MS Mincho"/>
          <w:highlight w:val="green"/>
        </w:rPr>
      </w:pPr>
      <w:r w:rsidRPr="0067536D">
        <w:rPr>
          <w:rFonts w:eastAsia="MS Mincho"/>
        </w:rPr>
        <w:t xml:space="preserve">Позицией 17 приложения к Постановлению № 2571 установлено, что в </w:t>
      </w:r>
      <w:proofErr w:type="gramStart"/>
      <w:r w:rsidRPr="0067536D">
        <w:rPr>
          <w:rFonts w:eastAsia="MS Mincho"/>
        </w:rPr>
        <w:t>случае</w:t>
      </w:r>
      <w:proofErr w:type="gramEnd"/>
      <w:r w:rsidRPr="0067536D">
        <w:rPr>
          <w:rFonts w:eastAsia="MS Mincho"/>
        </w:rPr>
        <w:t xml:space="preserve"> проведения закупки на выполнение работ по строительству, реконструкции, капитальному ремонту автомобильной дороги, к участникам закупки н</w:t>
      </w:r>
      <w:r w:rsidRPr="0067536D">
        <w:rPr>
          <w:rFonts w:eastAsia="MS Mincho"/>
        </w:rPr>
        <w:t>еобходимо установить дополнительные требования о наличии у участника закупки следующего опыта выполнения работ: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 xml:space="preserve">1) опыт исполнения </w:t>
      </w:r>
      <w:r w:rsidRPr="0067536D">
        <w:rPr>
          <w:rFonts w:eastAsia="MS Mincho"/>
          <w:b/>
        </w:rPr>
        <w:t>договора строительного подряда</w:t>
      </w:r>
      <w:r w:rsidRPr="0067536D">
        <w:rPr>
          <w:rFonts w:eastAsia="MS Mincho"/>
        </w:rPr>
        <w:t>, предусматривающего выполнение работ по строительству, реконструкции автомобильной дороги;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2</w:t>
      </w:r>
      <w:r w:rsidRPr="0067536D">
        <w:rPr>
          <w:rFonts w:eastAsia="MS Mincho"/>
        </w:rPr>
        <w:t>) опыт исполнения договора, предусматривающего выполнение работ по капитальному ремонту автомобильной дороги;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3) опыт выполнения участником закупки, являющимся застройщиком, работ по строительству, реконструкции, капитальному ремонту автомобильной дороги.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lastRenderedPageBreak/>
        <w:tab/>
        <w:t>В случае наличия опыта, предусмотренного пунктом 1 графы «Дополнительные требования к участникам закупки»  позиции 17 приложения к Постановлению № 2571, опыт подтверждается следующими документами: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1) исполненный договор;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2) акт приемки объекта капиталь</w:t>
      </w:r>
      <w:r w:rsidRPr="0067536D">
        <w:rPr>
          <w:rFonts w:eastAsia="MS Mincho"/>
        </w:rPr>
        <w:t>ного строительства, а также акт (акты) выполненных работ, подтверждающий (подтверждающие) цену выполненных работ, если акт приемки объекта капитального строительства не содержит цену выполненных работ;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</w:r>
      <w:proofErr w:type="gramStart"/>
      <w:r w:rsidRPr="0067536D">
        <w:rPr>
          <w:rFonts w:eastAsia="MS Mincho"/>
        </w:rPr>
        <w:t>3) разрешение на ввод объекта капитального строительс</w:t>
      </w:r>
      <w:r w:rsidRPr="0067536D">
        <w:rPr>
          <w:rFonts w:eastAsia="MS Mincho"/>
        </w:rPr>
        <w:t>тва в эксплуатацию (за исключением случая, если работы, являющиеся объектом закупки, не требуют в соответствии с законодательством о градостроительной деятельности выдачи разрешения на ввод объекта капитального строительства в эксплуатацию и при этом догов</w:t>
      </w:r>
      <w:r w:rsidRPr="0067536D">
        <w:rPr>
          <w:rFonts w:eastAsia="MS Mincho"/>
        </w:rPr>
        <w:t>ор, предусмотренный абзацем вторым настоящей графы, предусматривает выполнение работ, не требующих в соответствии с указанным законодательством выдачи такого разрешения) или решение о</w:t>
      </w:r>
      <w:proofErr w:type="gramEnd"/>
      <w:r w:rsidRPr="0067536D">
        <w:rPr>
          <w:rFonts w:eastAsia="MS Mincho"/>
        </w:rPr>
        <w:t xml:space="preserve"> технической готовности линейного объекта инфраструктуры к временной эксп</w:t>
      </w:r>
      <w:r w:rsidRPr="0067536D">
        <w:rPr>
          <w:rFonts w:eastAsia="MS Mincho"/>
        </w:rPr>
        <w:t>луатации.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В случае наличия опыта, предусмотренного пунктом 2 графы «Дополнительные требования к участникам закупки» позиции 17 приложения к Постановлению № 2571, опыт подтверждается следующими документами: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1) исполненный договор;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2) акт выполненных рабо</w:t>
      </w:r>
      <w:r w:rsidRPr="0067536D">
        <w:rPr>
          <w:rFonts w:eastAsia="MS Mincho"/>
        </w:rPr>
        <w:t>т, подтверждающий цену выполненных работ.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В случае наличия опыта, предусмотренного пунктом 3 графы «Дополнительные требования к участникам закупки» позиции 17 приложения к Постановлению № 2571, опыт подтверждается следующими документами: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1) раздел  «Смет</w:t>
      </w:r>
      <w:r w:rsidRPr="0067536D">
        <w:rPr>
          <w:rFonts w:eastAsia="MS Mincho"/>
        </w:rPr>
        <w:t>а на строительство, реконструкцию, капитальный ремонт, снос объекта капитального строительства» проектной документации;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2) разрешение на ввод объекта капитального строительства в эксплуатацию или решение о технической готовности линейного объекта инфрастр</w:t>
      </w:r>
      <w:r w:rsidRPr="0067536D">
        <w:rPr>
          <w:rFonts w:eastAsia="MS Mincho"/>
        </w:rPr>
        <w:t>уктуры к временной эксплуатации.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</w:r>
      <w:proofErr w:type="gramStart"/>
      <w:r w:rsidRPr="0067536D">
        <w:rPr>
          <w:rFonts w:eastAsia="MS Mincho"/>
        </w:rPr>
        <w:t>Абзацем шестым подпункта б пункта 3 Постановления № 2571 установлены позиции Постановления № 2571, в соответствии с которыми подтверждением опыта у участника закупки является контракт, заключенный и исполненный в соответст</w:t>
      </w:r>
      <w:r w:rsidRPr="0067536D">
        <w:rPr>
          <w:rFonts w:eastAsia="MS Mincho"/>
        </w:rPr>
        <w:t>вии с Законом о контрактной системе, либо договор, заключенный и исполненный в соответствии с Федеральным законом от 18.07.2011 № 223-ФЗ «О закупках товаров, работ, услуг отдельными видами юридических лиц».</w:t>
      </w:r>
      <w:proofErr w:type="gramEnd"/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</w:r>
      <w:proofErr w:type="gramStart"/>
      <w:r w:rsidRPr="0067536D">
        <w:rPr>
          <w:rFonts w:eastAsia="MS Mincho"/>
        </w:rPr>
        <w:t>Так договором,</w:t>
      </w:r>
      <w:r w:rsidRPr="0067536D">
        <w:t xml:space="preserve"> </w:t>
      </w:r>
      <w:r w:rsidRPr="0067536D">
        <w:rPr>
          <w:rFonts w:eastAsia="MS Mincho"/>
        </w:rPr>
        <w:t xml:space="preserve">предусмотренным пунктом 1 </w:t>
      </w:r>
      <w:r w:rsidRPr="0067536D">
        <w:rPr>
          <w:rFonts w:eastAsia="MS Mincho"/>
          <w:b/>
        </w:rPr>
        <w:t>(если н</w:t>
      </w:r>
      <w:r w:rsidRPr="0067536D">
        <w:rPr>
          <w:rFonts w:eastAsia="MS Mincho"/>
          <w:b/>
        </w:rPr>
        <w:t>аправляемый договор предусматривает выполнение работ, не требующих в соответствии с законодательством о градостроительной деятельности выдачи разрешения на ввод объекта капитального строительства в эксплуатацию)</w:t>
      </w:r>
      <w:r w:rsidRPr="0067536D">
        <w:rPr>
          <w:rFonts w:eastAsia="MS Mincho"/>
        </w:rPr>
        <w:t>, пунктом 2 позиции 17 приложения в графе «До</w:t>
      </w:r>
      <w:r w:rsidRPr="0067536D">
        <w:rPr>
          <w:rFonts w:eastAsia="MS Mincho"/>
        </w:rPr>
        <w:t>полнительные требования к участникам закупки», считается контракт, заключенный и исполненный в соответствии с Законом о контрактной системе, либо договор, заключенный и исполненный в соответствии</w:t>
      </w:r>
      <w:proofErr w:type="gramEnd"/>
      <w:r w:rsidRPr="0067536D">
        <w:rPr>
          <w:rFonts w:eastAsia="MS Mincho"/>
        </w:rPr>
        <w:t xml:space="preserve"> с Федеральным законом «О закупках товаров, работ, услуг отде</w:t>
      </w:r>
      <w:r w:rsidRPr="0067536D">
        <w:rPr>
          <w:rFonts w:eastAsia="MS Mincho"/>
        </w:rPr>
        <w:t>льными видами юридических лиц».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 xml:space="preserve">В рамках направления Обращения о согласовании заключения контракта с единственным подрядчиком – обществом с ограниченной ответственностью «&lt;...&gt;» (ИНН &lt;...&gt;), Комиссией рассмотрены документы направленные Заказчиком в </w:t>
      </w:r>
      <w:proofErr w:type="gramStart"/>
      <w:r w:rsidRPr="0067536D">
        <w:rPr>
          <w:rFonts w:eastAsia="MS Mincho"/>
        </w:rPr>
        <w:t>состав</w:t>
      </w:r>
      <w:r w:rsidRPr="0067536D">
        <w:rPr>
          <w:rFonts w:eastAsia="MS Mincho"/>
        </w:rPr>
        <w:t>е</w:t>
      </w:r>
      <w:proofErr w:type="gramEnd"/>
      <w:r w:rsidRPr="0067536D">
        <w:rPr>
          <w:rFonts w:eastAsia="MS Mincho"/>
        </w:rPr>
        <w:t xml:space="preserve"> Обращения. 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 xml:space="preserve">Так в </w:t>
      </w:r>
      <w:proofErr w:type="gramStart"/>
      <w:r w:rsidRPr="0067536D">
        <w:rPr>
          <w:rFonts w:eastAsia="MS Mincho"/>
        </w:rPr>
        <w:t>качестве</w:t>
      </w:r>
      <w:proofErr w:type="gramEnd"/>
      <w:r w:rsidRPr="0067536D">
        <w:rPr>
          <w:rFonts w:eastAsia="MS Mincho"/>
        </w:rPr>
        <w:t xml:space="preserve"> подтверждения наличия опыта, в соответствии с позицией 17 приложения к Постановлению № 2571, представлен </w:t>
      </w:r>
      <w:r w:rsidRPr="0067536D">
        <w:rPr>
          <w:rFonts w:eastAsia="MS Mincho"/>
          <w:b/>
        </w:rPr>
        <w:t>договор подряда № 59/24 от</w:t>
      </w:r>
      <w:r w:rsidRPr="0067536D">
        <w:rPr>
          <w:rFonts w:eastAsia="MS Mincho"/>
        </w:rPr>
        <w:t xml:space="preserve"> </w:t>
      </w:r>
      <w:r w:rsidRPr="0067536D">
        <w:rPr>
          <w:rFonts w:eastAsia="MS Mincho"/>
          <w:b/>
        </w:rPr>
        <w:t>05.06.2024,</w:t>
      </w:r>
      <w:r w:rsidRPr="0067536D">
        <w:rPr>
          <w:rFonts w:eastAsia="MS Mincho"/>
        </w:rPr>
        <w:t xml:space="preserve"> заключенный между ООО &lt;...&gt;» (ИНН &lt;...&gt;) и  ООО СП «&lt;...&gt;» (ИНН  &lt;...&gt;), </w:t>
      </w:r>
      <w:proofErr w:type="gramStart"/>
      <w:r w:rsidRPr="0067536D">
        <w:rPr>
          <w:rFonts w:eastAsia="MS Mincho"/>
        </w:rPr>
        <w:t>предметом</w:t>
      </w:r>
      <w:proofErr w:type="gramEnd"/>
      <w:r w:rsidRPr="0067536D">
        <w:rPr>
          <w:rFonts w:eastAsia="MS Mincho"/>
        </w:rPr>
        <w:t xml:space="preserve"> которого является устройство дорожного покрытия на объекте «Строительство автомобильных дорог и подъездных путей к молочно-товарной ферме на 588 голов КРС в д. </w:t>
      </w:r>
      <w:proofErr w:type="spellStart"/>
      <w:r w:rsidRPr="0067536D">
        <w:rPr>
          <w:rFonts w:eastAsia="MS Mincho"/>
        </w:rPr>
        <w:t>Мельничата</w:t>
      </w:r>
      <w:proofErr w:type="spellEnd"/>
      <w:r w:rsidRPr="0067536D">
        <w:rPr>
          <w:rFonts w:eastAsia="MS Mincho"/>
        </w:rPr>
        <w:t xml:space="preserve"> – 3 этап» (далее – договор подряда). 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 xml:space="preserve"> К договору подряда приложены документы: 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</w:r>
      <w:r w:rsidRPr="0067536D">
        <w:rPr>
          <w:rFonts w:eastAsia="MS Mincho"/>
        </w:rPr>
        <w:t xml:space="preserve">- локальный сметный расчет № ЛС-07-01-03, </w:t>
      </w:r>
    </w:p>
    <w:p w:rsidR="00B316D7" w:rsidRPr="0067536D" w:rsidRDefault="0067536D">
      <w:pPr>
        <w:jc w:val="both"/>
        <w:rPr>
          <w:rFonts w:eastAsia="MS Mincho"/>
          <w:b/>
        </w:rPr>
      </w:pPr>
      <w:r w:rsidRPr="0067536D">
        <w:rPr>
          <w:rFonts w:eastAsia="MS Mincho"/>
        </w:rPr>
        <w:tab/>
        <w:t xml:space="preserve">- акт о приемке выполненных работ </w:t>
      </w:r>
      <w:r w:rsidRPr="0067536D">
        <w:rPr>
          <w:rFonts w:eastAsia="MS Mincho"/>
          <w:b/>
        </w:rPr>
        <w:t>от 30.09.2024,</w:t>
      </w:r>
    </w:p>
    <w:p w:rsidR="00B316D7" w:rsidRPr="0067536D" w:rsidRDefault="0067536D">
      <w:pPr>
        <w:jc w:val="both"/>
        <w:rPr>
          <w:rFonts w:eastAsia="MS Mincho"/>
          <w:b/>
        </w:rPr>
      </w:pPr>
      <w:r w:rsidRPr="0067536D">
        <w:rPr>
          <w:rFonts w:eastAsia="MS Mincho"/>
          <w:b/>
        </w:rPr>
        <w:tab/>
        <w:t xml:space="preserve">- </w:t>
      </w:r>
      <w:r w:rsidRPr="0067536D">
        <w:rPr>
          <w:rFonts w:eastAsia="MS Mincho"/>
        </w:rPr>
        <w:t>справка о стоимости выполненных работ и затрат</w:t>
      </w:r>
      <w:r w:rsidRPr="0067536D">
        <w:rPr>
          <w:rFonts w:eastAsia="MS Mincho"/>
          <w:b/>
        </w:rPr>
        <w:t xml:space="preserve"> от 30.09.2024, 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 xml:space="preserve">- </w:t>
      </w:r>
      <w:r w:rsidRPr="0067536D">
        <w:rPr>
          <w:rFonts w:eastAsia="MS Mincho"/>
          <w:b/>
        </w:rPr>
        <w:t>решение на ввод объекта в эксплуатацию (дата разрешения от 08.10.2024</w:t>
      </w:r>
      <w:r w:rsidRPr="0067536D">
        <w:rPr>
          <w:rFonts w:eastAsia="MS Mincho"/>
        </w:rPr>
        <w:t>),</w:t>
      </w:r>
    </w:p>
    <w:p w:rsidR="00B316D7" w:rsidRPr="0067536D" w:rsidRDefault="0067536D">
      <w:pPr>
        <w:jc w:val="both"/>
        <w:rPr>
          <w:rFonts w:eastAsia="MS Mincho"/>
          <w:highlight w:val="cyan"/>
        </w:rPr>
      </w:pPr>
      <w:r w:rsidRPr="0067536D">
        <w:rPr>
          <w:rFonts w:eastAsia="MS Mincho"/>
        </w:rPr>
        <w:lastRenderedPageBreak/>
        <w:tab/>
      </w:r>
      <w:r w:rsidRPr="0067536D">
        <w:rPr>
          <w:rFonts w:eastAsia="MS Mincho"/>
        </w:rPr>
        <w:t xml:space="preserve">- акт приемки законченного строительством объекта </w:t>
      </w:r>
      <w:r w:rsidRPr="0067536D">
        <w:rPr>
          <w:rFonts w:eastAsia="MS Mincho"/>
          <w:b/>
        </w:rPr>
        <w:t>№ 5 от</w:t>
      </w:r>
      <w:r w:rsidRPr="0067536D">
        <w:rPr>
          <w:rFonts w:eastAsia="MS Mincho"/>
        </w:rPr>
        <w:t xml:space="preserve"> </w:t>
      </w:r>
      <w:r w:rsidRPr="0067536D">
        <w:rPr>
          <w:rFonts w:eastAsia="MS Mincho"/>
          <w:b/>
        </w:rPr>
        <w:t>30.09.2024.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Из анализа представленных документов установлено следующее.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>В пункте 1 Акта приемки законченного строительства № 5 от 30.09.2024 указано, что исполнителем работ предъявлен заказчику к п</w:t>
      </w:r>
      <w:r w:rsidRPr="0067536D">
        <w:rPr>
          <w:rFonts w:eastAsia="MS Mincho"/>
        </w:rPr>
        <w:t xml:space="preserve">риемке объект </w:t>
      </w:r>
      <w:r w:rsidRPr="0067536D">
        <w:rPr>
          <w:rFonts w:eastAsia="MS Mincho"/>
          <w:i/>
        </w:rPr>
        <w:t xml:space="preserve">«Строительство автомобильных дорог и подъездных путей к молочно-товарной ферме на 588 голов КРС в д. </w:t>
      </w:r>
      <w:proofErr w:type="spellStart"/>
      <w:r w:rsidRPr="0067536D">
        <w:rPr>
          <w:rFonts w:eastAsia="MS Mincho"/>
          <w:i/>
        </w:rPr>
        <w:t>Мельничата</w:t>
      </w:r>
      <w:proofErr w:type="spellEnd"/>
      <w:r w:rsidRPr="0067536D">
        <w:rPr>
          <w:rFonts w:eastAsia="MS Mincho"/>
          <w:i/>
        </w:rPr>
        <w:t xml:space="preserve"> – 3 этап»</w:t>
      </w:r>
      <w:r w:rsidRPr="0067536D">
        <w:rPr>
          <w:rFonts w:eastAsia="MS Mincho"/>
        </w:rPr>
        <w:t xml:space="preserve">. </w:t>
      </w:r>
      <w:r w:rsidRPr="0067536D">
        <w:rPr>
          <w:rFonts w:eastAsia="MS Mincho"/>
          <w:i/>
        </w:rPr>
        <w:t xml:space="preserve">Объект расположен по адресу: УР, </w:t>
      </w:r>
      <w:proofErr w:type="spellStart"/>
      <w:r w:rsidRPr="0067536D">
        <w:rPr>
          <w:rFonts w:eastAsia="MS Mincho"/>
          <w:i/>
        </w:rPr>
        <w:t>Селтинский</w:t>
      </w:r>
      <w:proofErr w:type="spellEnd"/>
      <w:r w:rsidRPr="0067536D">
        <w:rPr>
          <w:rFonts w:eastAsia="MS Mincho"/>
          <w:i/>
        </w:rPr>
        <w:t xml:space="preserve"> район, ТОО «Родник».</w:t>
      </w:r>
      <w:r w:rsidRPr="0067536D">
        <w:rPr>
          <w:rFonts w:eastAsia="MS Mincho"/>
        </w:rPr>
        <w:t xml:space="preserve"> Между тем, как в пункте 8 вышеуказанного акта приемки </w:t>
      </w:r>
      <w:r w:rsidRPr="0067536D">
        <w:rPr>
          <w:rFonts w:eastAsia="MS Mincho"/>
        </w:rPr>
        <w:t>законченного строительства прописано, что предъявленный исполнителем работ к приемке является объект «</w:t>
      </w:r>
      <w:r w:rsidRPr="0067536D">
        <w:rPr>
          <w:rFonts w:eastAsia="MS Mincho"/>
          <w:i/>
        </w:rPr>
        <w:t xml:space="preserve">Строительство автомобильных дорог и подъездных путей к молочно-товарной ферме на 2000 голов дойного стада КРС вблизи </w:t>
      </w:r>
      <w:proofErr w:type="spellStart"/>
      <w:r w:rsidRPr="0067536D">
        <w:rPr>
          <w:rFonts w:eastAsia="MS Mincho"/>
          <w:i/>
        </w:rPr>
        <w:t>с</w:t>
      </w:r>
      <w:proofErr w:type="gramStart"/>
      <w:r w:rsidRPr="0067536D">
        <w:rPr>
          <w:rFonts w:eastAsia="MS Mincho"/>
          <w:i/>
        </w:rPr>
        <w:t>.Б</w:t>
      </w:r>
      <w:proofErr w:type="gramEnd"/>
      <w:r w:rsidRPr="0067536D">
        <w:rPr>
          <w:rFonts w:eastAsia="MS Mincho"/>
          <w:i/>
        </w:rPr>
        <w:t>улай</w:t>
      </w:r>
      <w:proofErr w:type="spellEnd"/>
      <w:r w:rsidRPr="0067536D">
        <w:rPr>
          <w:rFonts w:eastAsia="MS Mincho"/>
          <w:i/>
        </w:rPr>
        <w:t xml:space="preserve"> </w:t>
      </w:r>
      <w:proofErr w:type="spellStart"/>
      <w:r w:rsidRPr="0067536D">
        <w:rPr>
          <w:rFonts w:eastAsia="MS Mincho"/>
          <w:i/>
        </w:rPr>
        <w:t>Увинского</w:t>
      </w:r>
      <w:proofErr w:type="spellEnd"/>
      <w:r w:rsidRPr="0067536D">
        <w:rPr>
          <w:rFonts w:eastAsia="MS Mincho"/>
          <w:i/>
        </w:rPr>
        <w:t xml:space="preserve"> района Удмуртской Р</w:t>
      </w:r>
      <w:r w:rsidRPr="0067536D">
        <w:rPr>
          <w:rFonts w:eastAsia="MS Mincho"/>
          <w:i/>
        </w:rPr>
        <w:t>еспублики»</w:t>
      </w:r>
      <w:r w:rsidRPr="0067536D">
        <w:rPr>
          <w:rFonts w:eastAsia="MS Mincho"/>
        </w:rPr>
        <w:t>.</w:t>
      </w:r>
    </w:p>
    <w:p w:rsidR="00B316D7" w:rsidRPr="0067536D" w:rsidRDefault="0067536D">
      <w:pPr>
        <w:jc w:val="both"/>
        <w:rPr>
          <w:rFonts w:eastAsia="MS Mincho"/>
        </w:rPr>
      </w:pPr>
      <w:r w:rsidRPr="0067536D">
        <w:rPr>
          <w:rFonts w:eastAsia="MS Mincho"/>
        </w:rPr>
        <w:tab/>
        <w:t xml:space="preserve">В решении на ввод объекта в эксплуатацию, установлены временные несоответствия: </w:t>
      </w:r>
      <w:r w:rsidRPr="0067536D">
        <w:rPr>
          <w:rFonts w:eastAsia="MS Mincho"/>
        </w:rPr>
        <w:br/>
        <w:t xml:space="preserve">в пункте 1.1. указана дата разрешения на ввод объекта в эксплуатацию 08.10.2024. Между тем, в </w:t>
      </w:r>
      <w:proofErr w:type="gramStart"/>
      <w:r w:rsidRPr="0067536D">
        <w:rPr>
          <w:rFonts w:eastAsia="MS Mincho"/>
        </w:rPr>
        <w:t>пункте</w:t>
      </w:r>
      <w:proofErr w:type="gramEnd"/>
      <w:r w:rsidRPr="0067536D">
        <w:rPr>
          <w:rFonts w:eastAsia="MS Mincho"/>
        </w:rPr>
        <w:t xml:space="preserve"> 5.1. указана дата разрешения на строительство 03.10.2024. Зак</w:t>
      </w:r>
      <w:r w:rsidRPr="0067536D">
        <w:rPr>
          <w:rFonts w:eastAsia="MS Mincho"/>
        </w:rPr>
        <w:t xml:space="preserve">лючение  договора подряда </w:t>
      </w:r>
      <w:r w:rsidRPr="0067536D">
        <w:rPr>
          <w:rFonts w:eastAsia="MS Mincho"/>
        </w:rPr>
        <w:br/>
        <w:t xml:space="preserve">№ 59/24 от 05.06.2024 с исполнением 30.09.2024, то есть раньше даты выдачи разрешения </w:t>
      </w:r>
      <w:r w:rsidRPr="0067536D">
        <w:rPr>
          <w:rFonts w:eastAsia="MS Mincho"/>
        </w:rPr>
        <w:br/>
        <w:t>на строительство не является достоверным.</w:t>
      </w:r>
    </w:p>
    <w:p w:rsidR="00B316D7" w:rsidRPr="0067536D" w:rsidRDefault="0067536D">
      <w:pPr>
        <w:jc w:val="both"/>
        <w:rPr>
          <w:rFonts w:eastAsia="MS Mincho"/>
          <w:color w:val="FF0000"/>
        </w:rPr>
      </w:pPr>
      <w:r w:rsidRPr="0067536D">
        <w:rPr>
          <w:rFonts w:eastAsia="MS Mincho"/>
        </w:rPr>
        <w:tab/>
        <w:t>Таким образом, договор подряда № 59/24 от 05.06.2024, заключенный межд</w:t>
      </w:r>
      <w:proofErr w:type="gramStart"/>
      <w:r w:rsidRPr="0067536D">
        <w:rPr>
          <w:rFonts w:eastAsia="MS Mincho"/>
        </w:rPr>
        <w:t xml:space="preserve">у </w:t>
      </w:r>
      <w:r w:rsidRPr="0067536D">
        <w:rPr>
          <w:rFonts w:eastAsia="MS Mincho"/>
        </w:rPr>
        <w:br/>
        <w:t>ООО</w:t>
      </w:r>
      <w:proofErr w:type="gramEnd"/>
      <w:r w:rsidRPr="0067536D">
        <w:rPr>
          <w:rFonts w:eastAsia="MS Mincho"/>
        </w:rPr>
        <w:t xml:space="preserve"> «&lt;...&gt;» (ИНН &lt;...&gt;) и </w:t>
      </w:r>
      <w:r w:rsidRPr="0067536D">
        <w:rPr>
          <w:rFonts w:eastAsia="MS Mincho"/>
        </w:rPr>
        <w:t xml:space="preserve"> ООО СП «&lt;...&gt;» </w:t>
      </w:r>
      <w:proofErr w:type="gramStart"/>
      <w:r w:rsidRPr="0067536D">
        <w:rPr>
          <w:rFonts w:eastAsia="MS Mincho"/>
        </w:rPr>
        <w:t xml:space="preserve">(ИНН  1&lt;...&gt;), приложенный </w:t>
      </w:r>
      <w:r w:rsidRPr="0067536D">
        <w:rPr>
          <w:rFonts w:eastAsia="MS Mincho"/>
        </w:rPr>
        <w:br/>
        <w:t>к Обращению 031320001860000035 (версия 2), не соответствует извещению о проведении закупки от 18.10.2024 № 0813500000124018156</w:t>
      </w:r>
      <w:r w:rsidRPr="0067536D">
        <w:t xml:space="preserve"> </w:t>
      </w:r>
      <w:r w:rsidRPr="0067536D">
        <w:rPr>
          <w:rFonts w:eastAsia="MS Mincho"/>
        </w:rPr>
        <w:t>по капитальному ремонту автомобильной дороги Верхняя Игра - Мишкино - граница Татарст</w:t>
      </w:r>
      <w:r w:rsidRPr="0067536D">
        <w:rPr>
          <w:rFonts w:eastAsia="MS Mincho"/>
        </w:rPr>
        <w:t xml:space="preserve">ана км 0+000 - км 5+800 в </w:t>
      </w:r>
      <w:proofErr w:type="spellStart"/>
      <w:r w:rsidRPr="0067536D">
        <w:rPr>
          <w:rFonts w:eastAsia="MS Mincho"/>
        </w:rPr>
        <w:t>Граховском</w:t>
      </w:r>
      <w:proofErr w:type="spellEnd"/>
      <w:r w:rsidRPr="0067536D">
        <w:rPr>
          <w:rFonts w:eastAsia="MS Mincho"/>
        </w:rPr>
        <w:t xml:space="preserve"> районе Удмуртской Республике (1 этап ПК 30-82 - ПК 54+93), позиции 17 приложения Постановления № 2571, представление которых предусмотрено подпунктом «е» пункта 7 Правил. </w:t>
      </w:r>
      <w:proofErr w:type="gramEnd"/>
    </w:p>
    <w:p w:rsidR="00B316D7" w:rsidRPr="0067536D" w:rsidRDefault="0067536D">
      <w:pPr>
        <w:jc w:val="both"/>
      </w:pPr>
      <w:r w:rsidRPr="0067536D">
        <w:rPr>
          <w:rFonts w:eastAsia="MS Mincho"/>
        </w:rPr>
        <w:tab/>
      </w:r>
      <w:proofErr w:type="gramStart"/>
      <w:r w:rsidRPr="0067536D">
        <w:rPr>
          <w:rFonts w:eastAsia="MS Mincho"/>
        </w:rPr>
        <w:t>Согласно подпункту «з» пункта 13 Правил контро</w:t>
      </w:r>
      <w:r w:rsidRPr="0067536D">
        <w:rPr>
          <w:rFonts w:eastAsia="MS Mincho"/>
        </w:rPr>
        <w:t xml:space="preserve">льный орган в сфере закупок принимает решение об отказе в согласовании заключения контракта с единственным поставщиком (подрядчиком, исполнителем) в случае выявления таким органом при проведении внеплановой проверки несоответствия единственного поставщика </w:t>
      </w:r>
      <w:r w:rsidRPr="0067536D">
        <w:rPr>
          <w:rFonts w:eastAsia="MS Mincho"/>
        </w:rPr>
        <w:t>(подрядчика, исполнителя) требованиям, установленным в извещении об осуществлении закупки, в соответствии с частью 1, частями 1.1, 2 и 2.1 (при наличии таких требований) статьи</w:t>
      </w:r>
      <w:proofErr w:type="gramEnd"/>
      <w:r w:rsidRPr="0067536D">
        <w:rPr>
          <w:rFonts w:eastAsia="MS Mincho"/>
        </w:rPr>
        <w:t xml:space="preserve"> 31 Федерального закона 44-ФЗ.</w:t>
      </w:r>
    </w:p>
    <w:p w:rsidR="00B316D7" w:rsidRPr="0067536D" w:rsidRDefault="0067536D">
      <w:pPr>
        <w:jc w:val="both"/>
      </w:pPr>
      <w:r w:rsidRPr="0067536D">
        <w:rPr>
          <w:rFonts w:eastAsia="MS Mincho"/>
        </w:rPr>
        <w:tab/>
        <w:t>На основании установленного, руководствуясь част</w:t>
      </w:r>
      <w:r w:rsidRPr="0067536D">
        <w:rPr>
          <w:rFonts w:eastAsia="MS Mincho"/>
        </w:rPr>
        <w:t>ью 8 статьи 93, частью 15 статьи 99 Закона о контрактной системе, подпунктом «з» пункта 13 Правил, комиссия</w:t>
      </w:r>
    </w:p>
    <w:p w:rsidR="00B316D7" w:rsidRPr="0067536D" w:rsidRDefault="00B316D7">
      <w:pPr>
        <w:jc w:val="both"/>
        <w:rPr>
          <w:rFonts w:eastAsia="MS Mincho"/>
        </w:rPr>
      </w:pPr>
    </w:p>
    <w:p w:rsidR="00B316D7" w:rsidRPr="0067536D" w:rsidRDefault="0067536D">
      <w:pPr>
        <w:jc w:val="center"/>
      </w:pPr>
      <w:r w:rsidRPr="0067536D">
        <w:rPr>
          <w:rFonts w:eastAsia="MS Mincho"/>
        </w:rPr>
        <w:t>РЕШИЛА:</w:t>
      </w:r>
    </w:p>
    <w:p w:rsidR="00B316D7" w:rsidRPr="0067536D" w:rsidRDefault="00B316D7">
      <w:pPr>
        <w:jc w:val="both"/>
        <w:rPr>
          <w:rFonts w:eastAsia="MS Mincho"/>
        </w:rPr>
      </w:pPr>
    </w:p>
    <w:p w:rsidR="00B316D7" w:rsidRPr="0067536D" w:rsidRDefault="0067536D">
      <w:pPr>
        <w:jc w:val="both"/>
        <w:rPr>
          <w:rFonts w:eastAsia="MS Mincho"/>
          <w:highlight w:val="cyan"/>
        </w:rPr>
      </w:pPr>
      <w:r w:rsidRPr="0067536D">
        <w:rPr>
          <w:rFonts w:eastAsia="MS Mincho"/>
        </w:rPr>
        <w:tab/>
      </w:r>
      <w:proofErr w:type="gramStart"/>
      <w:r w:rsidRPr="0067536D">
        <w:rPr>
          <w:rFonts w:eastAsia="MS Mincho"/>
        </w:rPr>
        <w:t>Отказать в согласовании казённому учреждению Удмуртской Республики «Управление автомобильными дорогами Удмуртской Республики» в заключени</w:t>
      </w:r>
      <w:r w:rsidRPr="0067536D">
        <w:rPr>
          <w:rFonts w:eastAsia="MS Mincho"/>
        </w:rPr>
        <w:t xml:space="preserve">и государственного контракта </w:t>
      </w:r>
      <w:r w:rsidRPr="0067536D">
        <w:rPr>
          <w:rFonts w:eastAsia="MS Mincho"/>
        </w:rPr>
        <w:br/>
        <w:t xml:space="preserve">на капитальный ремонт автомобильной дороги Верхняя Игра - Мишкино - граница Татарстана км 0+000 - км 5+800 в </w:t>
      </w:r>
      <w:proofErr w:type="spellStart"/>
      <w:r w:rsidRPr="0067536D">
        <w:rPr>
          <w:rFonts w:eastAsia="MS Mincho"/>
        </w:rPr>
        <w:t>Граховском</w:t>
      </w:r>
      <w:proofErr w:type="spellEnd"/>
      <w:r w:rsidRPr="0067536D">
        <w:rPr>
          <w:rFonts w:eastAsia="MS Mincho"/>
        </w:rPr>
        <w:t xml:space="preserve"> районе Удмуртской Республике (1 этап ПК 30-82 - ПК 54+93) (извещение от 18.10.2024 № 0813500000124018156) </w:t>
      </w:r>
      <w:r w:rsidRPr="0067536D">
        <w:rPr>
          <w:rFonts w:eastAsia="MS Mincho"/>
        </w:rPr>
        <w:t>с единственным поставщиком (подрядчиком, исполнителем) – обществом с ограниченном ответственностью «&lt;...&gt;»</w:t>
      </w:r>
      <w:proofErr w:type="gramEnd"/>
      <w:r w:rsidRPr="0067536D">
        <w:rPr>
          <w:rFonts w:eastAsia="MS Mincho"/>
        </w:rPr>
        <w:t xml:space="preserve"> (ИНН &lt;...&gt;).</w:t>
      </w:r>
    </w:p>
    <w:p w:rsidR="00B316D7" w:rsidRDefault="00B316D7">
      <w:pPr>
        <w:jc w:val="both"/>
        <w:rPr>
          <w:rFonts w:eastAsia="MS Mincho"/>
          <w:highlight w:val="cyan"/>
        </w:rPr>
      </w:pPr>
    </w:p>
    <w:p w:rsidR="00B316D7" w:rsidRDefault="00B316D7">
      <w:pPr>
        <w:jc w:val="both"/>
        <w:rPr>
          <w:rFonts w:eastAsia="MS Mincho"/>
          <w:highlight w:val="cyan"/>
        </w:rPr>
      </w:pPr>
    </w:p>
    <w:p w:rsidR="00B316D7" w:rsidRDefault="00B316D7">
      <w:pPr>
        <w:tabs>
          <w:tab w:val="left" w:pos="284"/>
          <w:tab w:val="left" w:pos="567"/>
        </w:tabs>
        <w:contextualSpacing/>
        <w:jc w:val="both"/>
        <w:rPr>
          <w:highlight w:val="cyan"/>
        </w:rPr>
      </w:pPr>
    </w:p>
    <w:p w:rsidR="00B316D7" w:rsidRDefault="0067536D">
      <w:pPr>
        <w:tabs>
          <w:tab w:val="left" w:pos="284"/>
          <w:tab w:val="left" w:pos="567"/>
        </w:tabs>
        <w:contextualSpacing/>
        <w:jc w:val="both"/>
      </w:pPr>
      <w:r>
        <w:rPr>
          <w:bCs/>
        </w:rPr>
        <w:t>Заместитель министра                                                                                                             &lt;...</w:t>
      </w:r>
      <w:r>
        <w:rPr>
          <w:bCs/>
        </w:rPr>
        <w:t>&gt;</w:t>
      </w:r>
    </w:p>
    <w:p w:rsidR="00B316D7" w:rsidRDefault="00B316D7">
      <w:pPr>
        <w:tabs>
          <w:tab w:val="left" w:pos="284"/>
          <w:tab w:val="left" w:pos="567"/>
        </w:tabs>
        <w:contextualSpacing/>
        <w:jc w:val="both"/>
      </w:pPr>
    </w:p>
    <w:p w:rsidR="00B316D7" w:rsidRDefault="0067536D">
      <w:pPr>
        <w:tabs>
          <w:tab w:val="left" w:pos="284"/>
          <w:tab w:val="left" w:pos="567"/>
        </w:tabs>
        <w:jc w:val="both"/>
      </w:pPr>
      <w:r>
        <w:rPr>
          <w:bCs/>
        </w:rPr>
        <w:t>Начальник отдела                                                                                                                     &lt;...&gt;</w:t>
      </w:r>
    </w:p>
    <w:p w:rsidR="00B316D7" w:rsidRDefault="00B316D7">
      <w:pPr>
        <w:tabs>
          <w:tab w:val="left" w:pos="284"/>
          <w:tab w:val="left" w:pos="567"/>
        </w:tabs>
        <w:jc w:val="both"/>
      </w:pPr>
    </w:p>
    <w:p w:rsidR="00B316D7" w:rsidRDefault="0067536D">
      <w:pPr>
        <w:tabs>
          <w:tab w:val="left" w:pos="284"/>
          <w:tab w:val="left" w:pos="567"/>
        </w:tabs>
        <w:jc w:val="both"/>
        <w:rPr>
          <w:bCs/>
        </w:rPr>
      </w:pPr>
      <w:r>
        <w:rPr>
          <w:bCs/>
        </w:rPr>
        <w:t>Главный государственный инспектор отдела                                                                        &lt;</w:t>
      </w:r>
      <w:r>
        <w:rPr>
          <w:bCs/>
        </w:rPr>
        <w:t>...&gt;</w:t>
      </w:r>
    </w:p>
    <w:sectPr w:rsidR="00B316D7">
      <w:footerReference w:type="default" r:id="rId8"/>
      <w:pgSz w:w="11906" w:h="16838"/>
      <w:pgMar w:top="1135" w:right="566" w:bottom="993" w:left="993" w:header="0" w:footer="33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7536D">
      <w:r>
        <w:separator/>
      </w:r>
    </w:p>
  </w:endnote>
  <w:endnote w:type="continuationSeparator" w:id="0">
    <w:p w:rsidR="00000000" w:rsidRDefault="00675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6D7" w:rsidRDefault="00B316D7">
    <w:pPr>
      <w:pStyle w:val="af8"/>
      <w:jc w:val="center"/>
      <w:rPr>
        <w:sz w:val="28"/>
        <w:szCs w:val="28"/>
      </w:rPr>
    </w:pPr>
  </w:p>
  <w:p w:rsidR="00B316D7" w:rsidRDefault="00B316D7">
    <w:pPr>
      <w:pStyle w:val="af8"/>
      <w:rPr>
        <w:sz w:val="28"/>
        <w:szCs w:val="28"/>
      </w:rPr>
    </w:pPr>
  </w:p>
  <w:p w:rsidR="00B316D7" w:rsidRDefault="00B316D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7536D">
      <w:r>
        <w:separator/>
      </w:r>
    </w:p>
  </w:footnote>
  <w:footnote w:type="continuationSeparator" w:id="0">
    <w:p w:rsidR="00000000" w:rsidRDefault="006753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6D7"/>
    <w:rsid w:val="0067536D"/>
    <w:rsid w:val="00B3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a9">
    <w:name w:val="Текст сноски Знак"/>
    <w:link w:val="aa"/>
    <w:uiPriority w:val="99"/>
    <w:qFormat/>
    <w:rPr>
      <w:sz w:val="18"/>
    </w:rPr>
  </w:style>
  <w:style w:type="character" w:customStyle="1" w:styleId="ab">
    <w:name w:val="Символ сноски"/>
    <w:uiPriority w:val="99"/>
    <w:unhideWhenUsed/>
    <w:qFormat/>
    <w:rPr>
      <w:vertAlign w:val="superscript"/>
    </w:rPr>
  </w:style>
  <w:style w:type="character" w:styleId="ac">
    <w:name w:val="footnote reference"/>
    <w:rPr>
      <w:vertAlign w:val="superscript"/>
    </w:rPr>
  </w:style>
  <w:style w:type="character" w:customStyle="1" w:styleId="ad">
    <w:name w:val="Текст концевой сноски Знак"/>
    <w:link w:val="ae"/>
    <w:uiPriority w:val="99"/>
    <w:qFormat/>
    <w:rPr>
      <w:sz w:val="20"/>
    </w:rPr>
  </w:style>
  <w:style w:type="character" w:customStyle="1" w:styleId="af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0">
    <w:name w:val="endnote reference"/>
    <w:rPr>
      <w:vertAlign w:val="superscript"/>
    </w:rPr>
  </w:style>
  <w:style w:type="character" w:customStyle="1" w:styleId="20">
    <w:name w:val="Заголовок 2 Знак"/>
    <w:basedOn w:val="a0"/>
    <w:link w:val="2"/>
    <w:uiPriority w:val="99"/>
    <w:qFormat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1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customStyle="1" w:styleId="af2">
    <w:name w:val="Текст выноски Знак"/>
    <w:basedOn w:val="a0"/>
    <w:link w:val="af3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pellchecker-word-highlight">
    <w:name w:val="spellchecker-word-highlight"/>
    <w:basedOn w:val="a0"/>
    <w:qFormat/>
  </w:style>
  <w:style w:type="character" w:customStyle="1" w:styleId="af4">
    <w:name w:val="Основной текст Знак"/>
    <w:qFormat/>
    <w:rPr>
      <w:rFonts w:ascii="Times New Roman" w:eastAsia="Times New Roman" w:hAnsi="Times New Roman" w:cs="Times New Roman"/>
      <w:b/>
      <w:bCs/>
    </w:rPr>
  </w:style>
  <w:style w:type="character" w:customStyle="1" w:styleId="0pt">
    <w:name w:val="Основной текст + Интервал 0 pt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sz w:val="22"/>
      <w:szCs w:val="22"/>
      <w:u w:val="none"/>
      <w:lang w:val="ru-RU" w:eastAsia="ru-RU" w:bidi="ru-RU"/>
    </w:rPr>
  </w:style>
  <w:style w:type="character" w:customStyle="1" w:styleId="af5">
    <w:name w:val="Верхний колонтитул Знак"/>
    <w:basedOn w:val="a0"/>
    <w:link w:val="af6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8"/>
    <w:uiPriority w:val="99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arget">
    <w:name w:val="copy_target"/>
    <w:basedOn w:val="a0"/>
    <w:qFormat/>
  </w:style>
  <w:style w:type="character" w:customStyle="1" w:styleId="h2-12-c">
    <w:name w:val="h2-12-c"/>
    <w:qFormat/>
    <w:rPr>
      <w:rFonts w:ascii="Arial" w:eastAsia="Arial" w:hAnsi="Arial" w:cs="Arial"/>
      <w:b/>
      <w:bCs/>
      <w:color w:val="FFFFFF"/>
      <w:sz w:val="18"/>
      <w:szCs w:val="18"/>
      <w:u w:val="none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Open Sans" w:eastAsia="Droid Sans Fallback" w:hAnsi="Open Sans" w:cs="Lohit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Lohit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d">
    <w:name w:val="index heading"/>
    <w:basedOn w:val="af9"/>
  </w:style>
  <w:style w:type="paragraph" w:customStyle="1" w:styleId="indexheading1">
    <w:name w:val="index heading1"/>
    <w:basedOn w:val="af9"/>
    <w:qFormat/>
  </w:style>
  <w:style w:type="paragraph" w:styleId="afe">
    <w:name w:val="No Spacing"/>
    <w:uiPriority w:val="1"/>
    <w:qFormat/>
  </w:style>
  <w:style w:type="paragraph" w:styleId="a4">
    <w:name w:val="Title"/>
    <w:basedOn w:val="a"/>
    <w:next w:val="a"/>
    <w:link w:val="a3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9"/>
    <w:uiPriority w:val="99"/>
    <w:semiHidden/>
    <w:unhideWhenUsed/>
    <w:pPr>
      <w:spacing w:after="40"/>
    </w:pPr>
    <w:rPr>
      <w:sz w:val="18"/>
    </w:rPr>
  </w:style>
  <w:style w:type="paragraph" w:styleId="ae">
    <w:name w:val="endnote text"/>
    <w:basedOn w:val="a"/>
    <w:link w:val="ad"/>
    <w:uiPriority w:val="99"/>
    <w:semiHidden/>
    <w:unhideWhenUsed/>
    <w:rPr>
      <w:sz w:val="20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">
    <w:name w:val="TOC Heading"/>
    <w:uiPriority w:val="39"/>
    <w:unhideWhenUsed/>
    <w:qFormat/>
    <w:pPr>
      <w:spacing w:after="200" w:line="276" w:lineRule="auto"/>
    </w:pPr>
  </w:style>
  <w:style w:type="paragraph" w:styleId="aff0">
    <w:name w:val="table of figures"/>
    <w:basedOn w:val="a"/>
    <w:next w:val="a"/>
    <w:uiPriority w:val="99"/>
    <w:unhideWhenUsed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f3">
    <w:name w:val="Balloon Text"/>
    <w:basedOn w:val="a"/>
    <w:link w:val="af2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aff1">
    <w:name w:val="Колонтитул"/>
    <w:basedOn w:val="a"/>
    <w:qFormat/>
  </w:style>
  <w:style w:type="paragraph" w:styleId="af6">
    <w:name w:val="header"/>
    <w:basedOn w:val="a"/>
    <w:link w:val="af5"/>
    <w:uiPriority w:val="99"/>
    <w:unhideWhenUsed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paragraph" w:styleId="aff2">
    <w:name w:val="List Paragraph"/>
    <w:basedOn w:val="a"/>
    <w:uiPriority w:val="34"/>
    <w:qFormat/>
    <w:pPr>
      <w:ind w:left="720"/>
      <w:contextualSpacing/>
    </w:pPr>
  </w:style>
  <w:style w:type="paragraph" w:customStyle="1" w:styleId="h2-12">
    <w:name w:val="h2-12"/>
    <w:qFormat/>
    <w:pPr>
      <w:shd w:val="clear" w:color="auto" w:fill="139664"/>
      <w:spacing w:beforeAutospacing="1" w:afterAutospacing="1" w:line="276" w:lineRule="auto"/>
      <w:ind w:left="10" w:right="10"/>
      <w:contextualSpacing/>
      <w:jc w:val="both"/>
      <w:outlineLvl w:val="1"/>
    </w:pPr>
    <w:rPr>
      <w:rFonts w:ascii="Arial" w:eastAsia="Arial" w:hAnsi="Arial"/>
    </w:rPr>
  </w:style>
  <w:style w:type="table" w:styleId="aff3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sz w:val="22"/>
      </w:rPr>
      <w:tblPr/>
      <w:tcPr>
        <w:shd w:val="clear" w:color="000000" w:fill="000000" w:themeFill="text1"/>
      </w:tcPr>
    </w:tblStylePr>
    <w:tblStylePr w:type="lastCol">
      <w:rPr>
        <w:b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sz w:val="22"/>
      </w:rPr>
      <w:tblPr/>
      <w:tcPr>
        <w:shd w:val="clear" w:color="4F81BD" w:fill="4F81BD" w:themeFill="accent1"/>
      </w:tcPr>
    </w:tblStylePr>
    <w:tblStylePr w:type="lastCol">
      <w:rPr>
        <w:b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sz w:val="22"/>
      </w:rPr>
      <w:tblPr/>
      <w:tcPr>
        <w:shd w:val="clear" w:color="C0504D" w:fill="C0504D" w:themeFill="accent2"/>
      </w:tcPr>
    </w:tblStylePr>
    <w:tblStylePr w:type="lastCol">
      <w:rPr>
        <w:b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sz w:val="22"/>
      </w:rPr>
      <w:tblPr/>
      <w:tcPr>
        <w:shd w:val="clear" w:color="9BBB59" w:fill="9BBB59" w:themeFill="accent3"/>
      </w:tcPr>
    </w:tblStylePr>
    <w:tblStylePr w:type="lastCol">
      <w:rPr>
        <w:b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sz w:val="22"/>
      </w:rPr>
      <w:tblPr/>
      <w:tcPr>
        <w:shd w:val="clear" w:color="8064A2" w:fill="8064A2" w:themeFill="accent4"/>
      </w:tcPr>
    </w:tblStylePr>
    <w:tblStylePr w:type="lastCol">
      <w:rPr>
        <w:b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sz w:val="22"/>
      </w:rPr>
      <w:tblPr/>
      <w:tcPr>
        <w:shd w:val="clear" w:color="4BACC6" w:fill="4BACC6" w:themeFill="accent5"/>
      </w:tcPr>
    </w:tblStylePr>
    <w:tblStylePr w:type="lastCol">
      <w:rPr>
        <w:b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sz w:val="22"/>
      </w:rPr>
      <w:tblPr/>
      <w:tcPr>
        <w:shd w:val="clear" w:color="F79646" w:fill="F79646" w:themeFill="accent6"/>
      </w:tcPr>
    </w:tblStylePr>
    <w:tblStylePr w:type="lastCol">
      <w:rPr>
        <w:b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sz w:val="22"/>
      </w:rPr>
      <w:tblPr/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sz w:val="22"/>
      </w:rPr>
      <w:tblPr/>
      <w:tcPr>
        <w:shd w:val="clear" w:color="4F81BD" w:fill="4F81BD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sz w:val="22"/>
      </w:rPr>
      <w:tblPr/>
      <w:tcPr>
        <w:shd w:val="clear" w:color="C0504D" w:fill="C0504D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sz w:val="22"/>
      </w:rPr>
      <w:tblPr/>
      <w:tcPr>
        <w:shd w:val="clear" w:color="9BBB59" w:fill="9BBB59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sz w:val="22"/>
      </w:rPr>
      <w:tblPr/>
      <w:tcPr>
        <w:shd w:val="clear" w:color="8064A2" w:fill="8064A2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sz w:val="22"/>
      </w:rPr>
      <w:tblPr/>
      <w:tcPr>
        <w:shd w:val="clear" w:color="4BACC6" w:fill="4BACC6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sz w:val="22"/>
      </w:rPr>
      <w:tblPr/>
      <w:tcPr>
        <w:shd w:val="clear" w:color="F79646" w:fill="F79646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sz w:val="22"/>
      </w:rPr>
      <w:tblPr/>
      <w:tcPr>
        <w:shd w:val="clear" w:color="7F7F7F" w:fill="7F7F7F" w:themeFill="text1" w:themeFillTint="80"/>
      </w:tcPr>
    </w:tblStylePr>
    <w:tblStylePr w:type="lastRow">
      <w:rPr>
        <w:sz w:val="22"/>
      </w:rPr>
      <w:tblPr/>
      <w:tcPr>
        <w:shd w:val="clear" w:color="7F7F7F" w:fill="7F7F7F" w:themeFill="text1" w:themeFillTint="80"/>
      </w:tcPr>
    </w:tblStylePr>
    <w:tblStylePr w:type="firstCol">
      <w:rPr>
        <w:sz w:val="22"/>
      </w:rPr>
      <w:tblPr/>
      <w:tcPr>
        <w:shd w:val="clear" w:color="7F7F7F" w:fill="7F7F7F" w:themeFill="text1" w:themeFillTint="80"/>
      </w:tcPr>
    </w:tblStylePr>
    <w:tblStylePr w:type="lastCol">
      <w:rPr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sz w:val="22"/>
      </w:rPr>
      <w:tblPr/>
      <w:tcPr>
        <w:shd w:val="clear" w:color="4BACC6" w:fill="4BACC6" w:themeFill="accent5"/>
      </w:tcPr>
    </w:tblStylePr>
    <w:tblStylePr w:type="lastRow">
      <w:rPr>
        <w:sz w:val="22"/>
      </w:rPr>
      <w:tblPr/>
      <w:tcPr>
        <w:shd w:val="clear" w:color="4BACC6" w:fill="4BACC6" w:themeFill="accent5"/>
      </w:tcPr>
    </w:tblStylePr>
    <w:tblStylePr w:type="firstCol">
      <w:rPr>
        <w:sz w:val="22"/>
      </w:rPr>
      <w:tblPr/>
      <w:tcPr>
        <w:shd w:val="clear" w:color="4BACC6" w:fill="4BACC6" w:themeFill="accent5"/>
      </w:tcPr>
    </w:tblStylePr>
    <w:tblStylePr w:type="lastCol">
      <w:rPr>
        <w:sz w:val="22"/>
      </w:rPr>
      <w:tblPr/>
      <w:tcPr>
        <w:shd w:val="clear" w:color="4BACC6" w:fill="4BACC6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sz w:val="20"/>
      <w:szCs w:val="20"/>
      <w:lang w:eastAsia="ru-RU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sz w:val="22"/>
      </w:rPr>
      <w:tblPr/>
      <w:tcPr>
        <w:shd w:val="clear" w:color="F79646" w:fill="F79646" w:themeFill="accent6"/>
      </w:tcPr>
    </w:tblStylePr>
    <w:tblStylePr w:type="lastRow">
      <w:rPr>
        <w:sz w:val="22"/>
      </w:rPr>
      <w:tblPr/>
      <w:tcPr>
        <w:shd w:val="clear" w:color="F79646" w:fill="F79646" w:themeFill="accent6"/>
      </w:tcPr>
    </w:tblStylePr>
    <w:tblStylePr w:type="firstCol">
      <w:rPr>
        <w:sz w:val="22"/>
      </w:rPr>
      <w:tblPr/>
      <w:tcPr>
        <w:shd w:val="clear" w:color="F79646" w:fill="F79646" w:themeFill="accent6"/>
      </w:tcPr>
    </w:tblStylePr>
    <w:tblStylePr w:type="lastCol">
      <w:rPr>
        <w:sz w:val="22"/>
      </w:rPr>
      <w:tblPr/>
      <w:tcPr>
        <w:shd w:val="clear" w:color="F79646" w:fill="F79646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sz w:val="22"/>
      </w:rPr>
    </w:tblStylePr>
    <w:tblStylePr w:type="lastCol">
      <w:rPr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C0F950-B015-4756-B0EA-1E18BE33B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2169</Words>
  <Characters>12369</Characters>
  <Application>Microsoft Office Word</Application>
  <DocSecurity>0</DocSecurity>
  <Lines>103</Lines>
  <Paragraphs>29</Paragraphs>
  <ScaleCrop>false</ScaleCrop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to18-gulyaevavv</dc:creator>
  <dc:description/>
  <cp:lastModifiedBy>Завалина Марина Александровна</cp:lastModifiedBy>
  <cp:revision>380</cp:revision>
  <dcterms:created xsi:type="dcterms:W3CDTF">2019-08-22T12:02:00Z</dcterms:created>
  <dcterms:modified xsi:type="dcterms:W3CDTF">2024-11-19T09:19:00Z</dcterms:modified>
  <dc:language>ru-RU</dc:language>
</cp:coreProperties>
</file>